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Governance Clarification on Use of ICO Proceeds</w:t>
      </w:r>
    </w:p>
    <w:p>
      <w:r>
        <w:br/>
        <w:t>(Document forming part of the Voting Results published in connection with the vote on the Updated ChronoBank White Paper)</w:t>
      </w:r>
    </w:p>
    <w:p>
      <w:r>
        <w:t>Purpose and Status of this Document</w:t>
      </w:r>
    </w:p>
    <w:p>
      <w:r>
        <w:t>This document forms an integral part of the voting results published on the ChronoBank blog in connection with the vote on the updated ChronoBank White Paper. It is provided to TIME token holders and the public to clarify the governance framework and operational authority confirmed by the outcome of the vote.</w:t>
      </w:r>
    </w:p>
    <w:p>
      <w:r>
        <w:t>As described in the White Paper, ChronoBank is a blockchain-based system designed to tokenise labour-hours and enable the creation and operation of decentralised labour and asset-management platforms, coordinated through a central operating entity (the ChronoBank Entity, or CBE).</w:t>
      </w:r>
    </w:p>
    <w:p>
      <w:r>
        <w:t>Authority to Manage Crowdsale Proceeds</w:t>
      </w:r>
    </w:p>
    <w:p>
      <w:r>
        <w:t>As set out in the White Paper, the development and operation of the ChronoBank system were funded through a crowdsale of TIME tokens, with proceeds intended to support ongoing research, development, infrastructure, legal arrangements, and system deployment.</w:t>
      </w:r>
    </w:p>
    <w:p>
      <w:r>
        <w:t>The voting results confirm that the ChronoBank Entity and its core development team are authorised to manage the cryptocurrency proceeds of the crowdsale and to make decisions regarding their allocation and use in order to pursue the objectives described in the White Paper.</w:t>
      </w:r>
    </w:p>
    <w:p>
      <w:r>
        <w:t>This authority includes, without limitation, the ability to hold, transfer, convert, or exchange digital assets raised during the crowdsale; fund software development, system infrastructure, and technical operations; enter into legal, contractual, and compliance arrangements required for system operation; support research, ecosystem development, and third-party integrations; and allocate resources over time as required for the stability and growth of the ChronoBank system.</w:t>
      </w:r>
    </w:p>
    <w:p>
      <w:r>
        <w:t>Clarification on Temporal Scope</w:t>
      </w:r>
    </w:p>
    <w:p>
      <w:r>
        <w:t>For the avoidance of doubt, the authority and acknowledgements described in this document apply to the management and use of crowdsale proceeds from the time of their receipt by the ChronoBank Entity, including all allocations, transfers, conversions, expenditures, and other transactions undertaken from the conclusion of the crowdsale up to and including the publication of the voting results, as well as on a continuing basis thereafter.</w:t>
      </w:r>
    </w:p>
    <w:p>
      <w:r>
        <w:t>By reference to the voting results, TIME token holders confirm and ratify that such past actions were undertaken within the scope of the mandate described in the White Paper and in furtherance of the ChronoBank system.</w:t>
      </w:r>
    </w:p>
    <w:p>
      <w:r>
        <w:t>No Personal Guarantee or Individual Liability</w:t>
      </w:r>
    </w:p>
    <w:p>
      <w:r>
        <w:t>TIME token holders acknowledge that neither the ChronoBank Entity nor any individual member of the core development team provides a personal guarantee regarding the performance, value, or outcomes of the ChronoBank system.</w:t>
      </w:r>
    </w:p>
    <w:p>
      <w:r>
        <w:t>Decisions relating to the management or use of crowdsale proceeds are undertaken in a representative and operational capacity on behalf of the ChronoBank system, and not in an individual capacity.</w:t>
      </w:r>
    </w:p>
    <w:p>
      <w:r>
        <w:t>Participation in the crowdsale and related governance processes involves technological, economic, and regulatory risks, including the potential loss of value.</w:t>
      </w:r>
    </w:p>
    <w:p>
      <w:r>
        <w:t>Relationship to the Voting Results and White Paper</w:t>
      </w:r>
    </w:p>
    <w:p>
      <w:r>
        <w:t>This document forms part of the official voting results record and should be read together with the White Paper and the voting materials referenced on the ChronoBank blog.</w:t>
      </w:r>
    </w:p>
    <w:p>
      <w:r>
        <w:t>Publication of the voting results constitutes formal confirmation of the governance framework described herein.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2018-02-15T12:00:00Z</dcterms:created>
  <dcterms:modified xsi:type="dcterms:W3CDTF">2018-02-15T12:00:00Z</dcterms:modified>
  <cp:category/>
</cp:coreProperties>
</file>